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F0" w:rsidRDefault="006317F0" w:rsidP="006317F0">
      <w:pPr>
        <w:spacing w:after="210" w:line="240" w:lineRule="auto"/>
        <w:ind w:left="113" w:right="113"/>
        <w:jc w:val="center"/>
        <w:rPr>
          <w:rFonts w:ascii="TimesNewRomanPS-BoldMT" w:eastAsia="Times New Roman" w:hAnsi="TimesNewRomanPS-BoldMT" w:cs="Times New Roman"/>
          <w:b/>
          <w:bCs/>
          <w:sz w:val="32"/>
          <w:szCs w:val="32"/>
          <w:lang w:eastAsia="ru-RU"/>
        </w:rPr>
      </w:pPr>
    </w:p>
    <w:p w:rsidR="006317F0" w:rsidRDefault="006317F0" w:rsidP="006317F0">
      <w:pPr>
        <w:spacing w:after="210" w:line="240" w:lineRule="auto"/>
        <w:ind w:left="113" w:right="113"/>
        <w:jc w:val="center"/>
        <w:rPr>
          <w:rFonts w:ascii="TimesNewRomanPS-BoldMT" w:eastAsia="Times New Roman" w:hAnsi="TimesNewRomanPS-BoldMT" w:cs="Times New Roman"/>
          <w:b/>
          <w:bCs/>
          <w:sz w:val="32"/>
          <w:szCs w:val="32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sz w:val="32"/>
          <w:szCs w:val="32"/>
          <w:lang w:eastAsia="ru-RU"/>
        </w:rPr>
        <w:t xml:space="preserve">Порядок рассмотрения обращений </w:t>
      </w:r>
    </w:p>
    <w:p w:rsidR="008043B8" w:rsidRPr="008043B8" w:rsidRDefault="008043B8" w:rsidP="006317F0">
      <w:pPr>
        <w:spacing w:after="21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Обращение граждан может быть:</w:t>
      </w:r>
    </w:p>
    <w:p w:rsidR="008043B8" w:rsidRPr="008043B8" w:rsidRDefault="008043B8" w:rsidP="008043B8">
      <w:pPr>
        <w:numPr>
          <w:ilvl w:val="0"/>
          <w:numId w:val="1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Письменным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 (письмо, электронное письмо, заявление через портал «</w:t>
      </w:r>
      <w:proofErr w:type="spellStart"/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Госуслуги</w:t>
      </w:r>
      <w:proofErr w:type="spellEnd"/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», официальный сайт организации)</w:t>
      </w:r>
    </w:p>
    <w:p w:rsidR="008043B8" w:rsidRPr="008043B8" w:rsidRDefault="008043B8" w:rsidP="008043B8">
      <w:pPr>
        <w:numPr>
          <w:ilvl w:val="0"/>
          <w:numId w:val="1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Устным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 (личный приём, телефонный звонок)</w:t>
      </w:r>
    </w:p>
    <w:p w:rsidR="008043B8" w:rsidRPr="008043B8" w:rsidRDefault="008043B8" w:rsidP="008043B8">
      <w:pPr>
        <w:numPr>
          <w:ilvl w:val="0"/>
          <w:numId w:val="1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Анонимным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 (возможен, но по закону ответ на анонимное обращение не обязателен)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2"/>
          <w:szCs w:val="32"/>
          <w:lang w:eastAsia="ru-RU"/>
        </w:rPr>
        <w:t>Сроки рассмотрения</w:t>
      </w:r>
    </w:p>
    <w:p w:rsidR="008043B8" w:rsidRPr="008043B8" w:rsidRDefault="008043B8" w:rsidP="008043B8">
      <w:pPr>
        <w:numPr>
          <w:ilvl w:val="0"/>
          <w:numId w:val="2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Общий срок рассмотрения письменного обращения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 — </w:t>
      </w: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15 дней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 с момента его регистрации.</w:t>
      </w:r>
    </w:p>
    <w:p w:rsidR="008043B8" w:rsidRPr="008043B8" w:rsidRDefault="008043B8" w:rsidP="008043B8">
      <w:pPr>
        <w:numPr>
          <w:ilvl w:val="0"/>
          <w:numId w:val="2"/>
        </w:numPr>
        <w:spacing w:after="0" w:line="240" w:lineRule="auto"/>
        <w:ind w:left="142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необходимости дополнительной проверки или по особо сложным вопросам срок может быть продлен до </w:t>
      </w: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30 дней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, с уведомлением заявителя.</w:t>
      </w:r>
    </w:p>
    <w:p w:rsidR="008043B8" w:rsidRPr="008043B8" w:rsidRDefault="008043B8" w:rsidP="008043B8">
      <w:pPr>
        <w:numPr>
          <w:ilvl w:val="0"/>
          <w:numId w:val="2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устные обращения обычно дают ответ сразу при приёме или в течение </w:t>
      </w: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7 дней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2"/>
          <w:szCs w:val="32"/>
          <w:lang w:eastAsia="ru-RU"/>
        </w:rPr>
        <w:t>Порядок рассмотрения</w:t>
      </w:r>
    </w:p>
    <w:p w:rsidR="008043B8" w:rsidRPr="008043B8" w:rsidRDefault="008043B8" w:rsidP="008043B8">
      <w:pPr>
        <w:numPr>
          <w:ilvl w:val="0"/>
          <w:numId w:val="3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0"/>
          <w:szCs w:val="30"/>
          <w:lang w:eastAsia="ru-RU"/>
        </w:rPr>
        <w:t>Регистрация обращения</w:t>
      </w:r>
    </w:p>
    <w:p w:rsidR="008043B8" w:rsidRPr="008043B8" w:rsidRDefault="008043B8" w:rsidP="008043B8">
      <w:pPr>
        <w:pStyle w:val="a4"/>
        <w:numPr>
          <w:ilvl w:val="0"/>
          <w:numId w:val="6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Обращение регистрируется в журнале входящей корреспонденции или электронной системе.</w:t>
      </w:r>
    </w:p>
    <w:p w:rsidR="008043B8" w:rsidRPr="008043B8" w:rsidRDefault="008043B8" w:rsidP="008043B8">
      <w:pPr>
        <w:pStyle w:val="a4"/>
        <w:numPr>
          <w:ilvl w:val="0"/>
          <w:numId w:val="6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Каждому обращению присваивается уникальный номер для отслеживания.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0"/>
          <w:szCs w:val="30"/>
          <w:lang w:eastAsia="ru-RU"/>
        </w:rPr>
        <w:t>Распределение по компетенции</w:t>
      </w:r>
    </w:p>
    <w:p w:rsidR="008043B8" w:rsidRPr="008043B8" w:rsidRDefault="008043B8" w:rsidP="008043B8">
      <w:pPr>
        <w:pStyle w:val="a4"/>
        <w:numPr>
          <w:ilvl w:val="0"/>
          <w:numId w:val="7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 власти или организация направляет обращение по ответственному подразделению или должностному лицу.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0"/>
          <w:szCs w:val="30"/>
          <w:lang w:eastAsia="ru-RU"/>
        </w:rPr>
        <w:t>Рассмотрение по существу</w:t>
      </w:r>
    </w:p>
    <w:p w:rsidR="008043B8" w:rsidRPr="008043B8" w:rsidRDefault="008043B8" w:rsidP="008043B8">
      <w:pPr>
        <w:pStyle w:val="a4"/>
        <w:numPr>
          <w:ilvl w:val="0"/>
          <w:numId w:val="7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Проверяются факты, документы, которые гражданин приложил.</w:t>
      </w:r>
    </w:p>
    <w:p w:rsidR="008043B8" w:rsidRPr="008043B8" w:rsidRDefault="008043B8" w:rsidP="008043B8">
      <w:pPr>
        <w:pStyle w:val="a4"/>
        <w:numPr>
          <w:ilvl w:val="0"/>
          <w:numId w:val="7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необходимости собираются дополнительные сведения.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0"/>
          <w:szCs w:val="30"/>
          <w:lang w:eastAsia="ru-RU"/>
        </w:rPr>
        <w:t>Принятие решения</w:t>
      </w:r>
    </w:p>
    <w:p w:rsidR="008043B8" w:rsidRPr="008043B8" w:rsidRDefault="008043B8" w:rsidP="008043B8">
      <w:pPr>
        <w:pStyle w:val="a4"/>
        <w:numPr>
          <w:ilvl w:val="0"/>
          <w:numId w:val="8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рассмотрения оформляется ответ: удовлетворение требований, отказ (с обоснованием), или частичное удовлетворение.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0"/>
          <w:szCs w:val="30"/>
          <w:lang w:eastAsia="ru-RU"/>
        </w:rPr>
        <w:t>Направление ответа заявителю</w:t>
      </w:r>
    </w:p>
    <w:p w:rsidR="008043B8" w:rsidRPr="008043B8" w:rsidRDefault="008043B8" w:rsidP="008043B8">
      <w:pPr>
        <w:pStyle w:val="a4"/>
        <w:numPr>
          <w:ilvl w:val="0"/>
          <w:numId w:val="8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может быть отправлен письменно, по электронной почте или предоставлен при личном обращении.</w:t>
      </w:r>
    </w:p>
    <w:p w:rsidR="008043B8" w:rsidRPr="008043B8" w:rsidRDefault="008043B8" w:rsidP="008043B8">
      <w:pPr>
        <w:pStyle w:val="a4"/>
        <w:numPr>
          <w:ilvl w:val="0"/>
          <w:numId w:val="8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ответе указываются: результат рассмотрения, основания, меры, если они предусмотрены, и сведения о возможности обжалования.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2"/>
          <w:szCs w:val="32"/>
          <w:lang w:eastAsia="ru-RU"/>
        </w:rPr>
        <w:t>Обжалование</w:t>
      </w:r>
    </w:p>
    <w:p w:rsidR="008043B8" w:rsidRP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гражданин не согласен с решением:</w:t>
      </w:r>
    </w:p>
    <w:p w:rsidR="008043B8" w:rsidRPr="008043B8" w:rsidRDefault="008043B8" w:rsidP="008043B8">
      <w:pPr>
        <w:numPr>
          <w:ilvl w:val="0"/>
          <w:numId w:val="4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Он может подать </w:t>
      </w: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жалобу</w:t>
      </w: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 в вышестоящий орган или суд.</w:t>
      </w:r>
    </w:p>
    <w:p w:rsidR="008043B8" w:rsidRPr="008043B8" w:rsidRDefault="008043B8" w:rsidP="008043B8">
      <w:pPr>
        <w:numPr>
          <w:ilvl w:val="0"/>
          <w:numId w:val="4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обжалования зависят от внутреннего регламента или закона, но обычно — </w:t>
      </w:r>
      <w:r w:rsidRPr="008043B8">
        <w:rPr>
          <w:rFonts w:ascii="TimesNewRomanPS-BoldMT" w:eastAsia="Times New Roman" w:hAnsi="TimesNewRomanPS-BoldMT" w:cs="Times New Roman"/>
          <w:bCs/>
          <w:sz w:val="30"/>
          <w:szCs w:val="30"/>
          <w:lang w:eastAsia="ru-RU"/>
        </w:rPr>
        <w:t>1 месяц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с момента получения ответа</w:t>
      </w:r>
    </w:p>
    <w:p w:rsidR="008043B8" w:rsidRDefault="008043B8" w:rsidP="008043B8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43B8">
        <w:rPr>
          <w:rFonts w:ascii="TimesNewRomanPS-BoldMT" w:eastAsia="Times New Roman" w:hAnsi="TimesNewRomanPS-BoldMT" w:cs="Times New Roman"/>
          <w:b/>
          <w:bCs/>
          <w:sz w:val="32"/>
          <w:szCs w:val="32"/>
          <w:lang w:eastAsia="ru-RU"/>
        </w:rPr>
        <w:t>Особенности</w:t>
      </w:r>
    </w:p>
    <w:p w:rsidR="008043B8" w:rsidRPr="008043B8" w:rsidRDefault="008043B8" w:rsidP="008043B8">
      <w:pPr>
        <w:pStyle w:val="a4"/>
        <w:numPr>
          <w:ilvl w:val="0"/>
          <w:numId w:val="9"/>
        </w:numPr>
        <w:spacing w:after="0" w:line="240" w:lineRule="auto"/>
        <w:ind w:left="113" w:right="11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43B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Обращение должно быть рассмотрено </w:t>
      </w:r>
      <w:r w:rsidRPr="008043B8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бесплатно</w:t>
      </w:r>
      <w:r w:rsidRPr="008043B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.</w:t>
      </w:r>
    </w:p>
    <w:p w:rsidR="008043B8" w:rsidRPr="008043B8" w:rsidRDefault="008043B8" w:rsidP="008043B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113" w:right="113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Обязательна </w:t>
      </w:r>
      <w:r w:rsidRPr="008043B8">
        <w:rPr>
          <w:rFonts w:ascii="TimesNewRomanPS-BoldMT" w:eastAsia="Times New Roman" w:hAnsi="TimesNewRomanPS-BoldMT" w:cs="Times New Roman"/>
          <w:bCs/>
          <w:color w:val="2C2D2E"/>
          <w:sz w:val="30"/>
          <w:szCs w:val="30"/>
          <w:lang w:eastAsia="ru-RU"/>
        </w:rPr>
        <w:t>уважительная причина отказа</w:t>
      </w:r>
      <w:r w:rsidRPr="008043B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 в случае неудовлетворения запроса.</w:t>
      </w:r>
    </w:p>
    <w:p w:rsidR="008043B8" w:rsidRPr="008043B8" w:rsidRDefault="008043B8" w:rsidP="008043B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113" w:right="113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8043B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Невыполнение сроков рассмотрения без уважительной причины считается нарушением закона.</w:t>
      </w:r>
    </w:p>
    <w:p w:rsidR="00CC42DE" w:rsidRDefault="00CC42DE"/>
    <w:sectPr w:rsidR="00CC42DE" w:rsidSect="008043B8"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B548A"/>
    <w:multiLevelType w:val="multilevel"/>
    <w:tmpl w:val="0D6E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D7B04"/>
    <w:multiLevelType w:val="hybridMultilevel"/>
    <w:tmpl w:val="DF26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0DC0"/>
    <w:multiLevelType w:val="multilevel"/>
    <w:tmpl w:val="7BB0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1383E"/>
    <w:multiLevelType w:val="hybridMultilevel"/>
    <w:tmpl w:val="A6D6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215DF"/>
    <w:multiLevelType w:val="hybridMultilevel"/>
    <w:tmpl w:val="467A4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24464"/>
    <w:multiLevelType w:val="multilevel"/>
    <w:tmpl w:val="FC62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63B73"/>
    <w:multiLevelType w:val="hybridMultilevel"/>
    <w:tmpl w:val="F21CB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00377"/>
    <w:multiLevelType w:val="multilevel"/>
    <w:tmpl w:val="3A1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4360D"/>
    <w:multiLevelType w:val="multilevel"/>
    <w:tmpl w:val="A028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B8"/>
    <w:rsid w:val="006317F0"/>
    <w:rsid w:val="008043B8"/>
    <w:rsid w:val="00C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744"/>
  <w15:chartTrackingRefBased/>
  <w15:docId w15:val="{07DF790E-42FF-4996-A2F6-1D1B2584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2026-05-07T06:58:00Z</dcterms:created>
  <dcterms:modified xsi:type="dcterms:W3CDTF">2026-05-12T12:37:00Z</dcterms:modified>
</cp:coreProperties>
</file>